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A6" w:rsidRDefault="00CA40DB">
      <w:pPr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  <w:sz w:val="28"/>
          <w:szCs w:val="28"/>
        </w:rPr>
        <w:t>银灏资产</w:t>
      </w:r>
      <w:r>
        <w:rPr>
          <w:rFonts w:hint="eastAsia"/>
          <w:b/>
          <w:bCs/>
          <w:sz w:val="28"/>
          <w:szCs w:val="28"/>
        </w:rPr>
        <w:t>--</w:t>
      </w:r>
      <w:r w:rsidRPr="00CA40DB">
        <w:rPr>
          <w:rFonts w:hint="eastAsia"/>
          <w:b/>
          <w:bCs/>
          <w:sz w:val="28"/>
          <w:szCs w:val="28"/>
        </w:rPr>
        <w:t>信息技术投资前景</w:t>
      </w:r>
      <w:bookmarkStart w:id="0" w:name="_GoBack"/>
      <w:bookmarkEnd w:id="0"/>
    </w:p>
    <w:p w:rsidR="00B171A6" w:rsidRDefault="00B171A6">
      <w:pPr>
        <w:rPr>
          <w:b/>
          <w:bCs/>
        </w:rPr>
      </w:pPr>
    </w:p>
    <w:p w:rsidR="00B171A6" w:rsidRDefault="00CA40DB">
      <w:pPr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</w:t>
      </w:r>
      <w:r>
        <w:rPr>
          <w:b/>
          <w:bCs/>
        </w:rPr>
        <w:t>产业</w:t>
      </w:r>
      <w:r>
        <w:rPr>
          <w:rFonts w:hint="eastAsia"/>
          <w:b/>
          <w:bCs/>
        </w:rPr>
        <w:t>背景</w:t>
      </w:r>
    </w:p>
    <w:p w:rsidR="00B171A6" w:rsidRDefault="00B171A6">
      <w:pPr>
        <w:rPr>
          <w:b/>
          <w:bCs/>
        </w:rPr>
      </w:pPr>
    </w:p>
    <w:p w:rsidR="00B171A6" w:rsidRDefault="00CA40DB">
      <w:pPr>
        <w:ind w:firstLineChars="200" w:firstLine="420"/>
      </w:pPr>
      <w:r>
        <w:rPr>
          <w:rFonts w:hint="eastAsia"/>
        </w:rPr>
        <w:t>根据</w:t>
      </w:r>
      <w:r>
        <w:t>国家统计局编订的</w:t>
      </w:r>
      <w:r>
        <w:rPr>
          <w:rFonts w:hint="eastAsia"/>
        </w:rPr>
        <w:t>《</w:t>
      </w:r>
      <w:r>
        <w:t>战略性新兴产业分类目录</w:t>
      </w:r>
      <w:r>
        <w:rPr>
          <w:rFonts w:hint="eastAsia"/>
        </w:rPr>
        <w:t>》</w:t>
      </w:r>
      <w:r>
        <w:t>，</w:t>
      </w:r>
      <w:r>
        <w:rPr>
          <w:rFonts w:hint="eastAsia"/>
        </w:rPr>
        <w:t>将“新一代信息技术产业”</w:t>
      </w:r>
      <w:r>
        <w:t>分为三个</w:t>
      </w:r>
      <w:r>
        <w:rPr>
          <w:rFonts w:hint="eastAsia"/>
        </w:rPr>
        <w:t>大类</w:t>
      </w:r>
      <w:r>
        <w:t>，</w:t>
      </w:r>
      <w:r>
        <w:rPr>
          <w:rFonts w:hint="eastAsia"/>
        </w:rPr>
        <w:t>27</w:t>
      </w:r>
      <w:r>
        <w:rPr>
          <w:rFonts w:hint="eastAsia"/>
        </w:rPr>
        <w:t>个小</w:t>
      </w:r>
      <w:r>
        <w:t>类，</w:t>
      </w:r>
      <w:r>
        <w:rPr>
          <w:rFonts w:hint="eastAsia"/>
        </w:rPr>
        <w:t>在小</w:t>
      </w:r>
      <w:r>
        <w:t>类下</w:t>
      </w:r>
      <w:r>
        <w:rPr>
          <w:rFonts w:hint="eastAsia"/>
        </w:rPr>
        <w:t>还按照</w:t>
      </w:r>
      <w:r>
        <w:t>产品</w:t>
      </w:r>
      <w:r>
        <w:rPr>
          <w:rFonts w:hint="eastAsia"/>
        </w:rPr>
        <w:t>进行</w:t>
      </w:r>
      <w:r>
        <w:t>了进一步细分。</w:t>
      </w:r>
      <w:r>
        <w:rPr>
          <w:rFonts w:hint="eastAsia"/>
        </w:rPr>
        <w:t>“新一代</w:t>
      </w:r>
      <w:r>
        <w:t>信息技术产业</w:t>
      </w:r>
      <w:r>
        <w:rPr>
          <w:rFonts w:hint="eastAsia"/>
        </w:rPr>
        <w:t>”的</w:t>
      </w:r>
      <w:r>
        <w:t>三个大类</w:t>
      </w:r>
      <w:r>
        <w:rPr>
          <w:rFonts w:hint="eastAsia"/>
        </w:rPr>
        <w:t>包括</w:t>
      </w:r>
      <w:r>
        <w:t>电子信息核心基础产业、下一代信息网络、高端软件和信息技术服务。</w:t>
      </w:r>
    </w:p>
    <w:p w:rsidR="00B171A6" w:rsidRDefault="00B171A6"/>
    <w:p w:rsidR="00B171A6" w:rsidRDefault="00CA40DB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b/>
          <w:bCs/>
        </w:rPr>
        <w:t>电子</w:t>
      </w:r>
      <w:r>
        <w:rPr>
          <w:b/>
          <w:bCs/>
        </w:rPr>
        <w:t>信息核心基础产业</w:t>
      </w:r>
      <w:r>
        <w:t>在整个产业中具有关键基础作用，</w:t>
      </w:r>
      <w:r>
        <w:rPr>
          <w:rFonts w:hint="eastAsia"/>
        </w:rPr>
        <w:t>涉及</w:t>
      </w:r>
      <w:r>
        <w:t>通信设备、高端计算机及外围设备、集成电路等领域。</w:t>
      </w:r>
    </w:p>
    <w:p w:rsidR="00B171A6" w:rsidRDefault="00CA40DB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b/>
          <w:bCs/>
        </w:rPr>
        <w:t>下一代信息网络</w:t>
      </w:r>
      <w:r>
        <w:rPr>
          <w:rFonts w:hint="eastAsia"/>
        </w:rPr>
        <w:t>主要强调对广播、通信、网络等手段的提升，以更好的实现基于这些手段的各种应用，涉及新一代移动通信网络运营服务、下一代互联网运营服务、下一代广播电视网运营服务等领域；</w:t>
      </w:r>
    </w:p>
    <w:p w:rsidR="00B171A6" w:rsidRDefault="00CA40DB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  <w:b/>
          <w:bCs/>
        </w:rPr>
        <w:t>高端软件和信息技术服务</w:t>
      </w:r>
      <w:r>
        <w:rPr>
          <w:rFonts w:hint="eastAsia"/>
        </w:rPr>
        <w:t>则更强调新一代信息技术的应用和服务能力，满足社会经济生活需求，涉及基础软件、开发支撑软件、通用应用软件等领域。</w:t>
      </w:r>
    </w:p>
    <w:p w:rsidR="00B171A6" w:rsidRDefault="00B171A6">
      <w:pPr>
        <w:widowControl/>
        <w:spacing w:after="180" w:line="360" w:lineRule="atLeast"/>
        <w:jc w:val="left"/>
        <w:rPr>
          <w:b/>
          <w:bCs/>
        </w:rPr>
      </w:pPr>
    </w:p>
    <w:p w:rsidR="00B171A6" w:rsidRDefault="00CA40DB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>2017</w:t>
      </w:r>
      <w:r>
        <w:rPr>
          <w:rFonts w:ascii="宋体" w:hAnsi="宋体" w:cs="宋体"/>
          <w:kern w:val="0"/>
          <w:sz w:val="24"/>
          <w:szCs w:val="24"/>
          <w:lang w:bidi="ar"/>
        </w:rPr>
        <w:t>年工信部将开展工业云、工业大数据、工业电子商务等行业示范应用，并开始建设工业互联网关键技术性验证平台；同期，工信部还将实施电信普遍服务试点项目，组织开展</w:t>
      </w:r>
      <w:r>
        <w:rPr>
          <w:rFonts w:ascii="宋体" w:hAnsi="宋体" w:cs="宋体"/>
          <w:kern w:val="0"/>
          <w:sz w:val="24"/>
          <w:szCs w:val="24"/>
          <w:lang w:bidi="ar"/>
        </w:rPr>
        <w:t>“</w:t>
      </w:r>
      <w:r>
        <w:rPr>
          <w:rFonts w:ascii="宋体" w:hAnsi="宋体" w:cs="宋体"/>
          <w:kern w:val="0"/>
          <w:sz w:val="24"/>
          <w:szCs w:val="24"/>
          <w:lang w:bidi="ar"/>
        </w:rPr>
        <w:t>核高基</w:t>
      </w:r>
      <w:r>
        <w:rPr>
          <w:rFonts w:ascii="宋体" w:hAnsi="宋体" w:cs="宋体"/>
          <w:kern w:val="0"/>
          <w:sz w:val="24"/>
          <w:szCs w:val="24"/>
          <w:lang w:bidi="ar"/>
        </w:rPr>
        <w:t>”</w:t>
      </w:r>
      <w:r>
        <w:rPr>
          <w:rFonts w:ascii="宋体" w:hAnsi="宋体" w:cs="宋体"/>
          <w:kern w:val="0"/>
          <w:sz w:val="24"/>
          <w:szCs w:val="24"/>
          <w:lang w:bidi="ar"/>
        </w:rPr>
        <w:t>重大专项，重点突破高端存储设备、传感器</w:t>
      </w:r>
      <w:r>
        <w:rPr>
          <w:rFonts w:ascii="宋体" w:hAnsi="宋体" w:cs="宋体"/>
          <w:kern w:val="0"/>
          <w:sz w:val="24"/>
          <w:szCs w:val="24"/>
          <w:lang w:bidi="ar"/>
        </w:rPr>
        <w:t>、基础软件、新型显示、人工智能、虚拟现实等核心关键环节</w:t>
      </w:r>
    </w:p>
    <w:p w:rsidR="00B171A6" w:rsidRDefault="00B171A6">
      <w:pPr>
        <w:widowControl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:rsidR="00B171A6" w:rsidRDefault="00CA40DB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bidi="ar"/>
        </w:rPr>
        <w:t>二：行业发展：</w:t>
      </w:r>
    </w:p>
    <w:p w:rsidR="00B171A6" w:rsidRDefault="00B171A6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:rsidR="00B171A6" w:rsidRDefault="00CA40DB">
      <w:pPr>
        <w:widowControl/>
        <w:spacing w:after="240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>作为《</w:t>
      </w:r>
      <w:r>
        <w:rPr>
          <w:rFonts w:ascii="宋体" w:hAnsi="宋体" w:cs="宋体"/>
          <w:kern w:val="0"/>
          <w:sz w:val="24"/>
          <w:szCs w:val="24"/>
          <w:lang w:bidi="ar"/>
        </w:rPr>
        <w:t>“</w:t>
      </w:r>
      <w:r>
        <w:rPr>
          <w:rFonts w:ascii="宋体" w:hAnsi="宋体" w:cs="宋体"/>
          <w:kern w:val="0"/>
          <w:sz w:val="24"/>
          <w:szCs w:val="24"/>
          <w:lang w:bidi="ar"/>
        </w:rPr>
        <w:t>十三五</w:t>
      </w:r>
      <w:r>
        <w:rPr>
          <w:rFonts w:ascii="宋体" w:hAnsi="宋体" w:cs="宋体"/>
          <w:kern w:val="0"/>
          <w:sz w:val="24"/>
          <w:szCs w:val="24"/>
          <w:lang w:bidi="ar"/>
        </w:rPr>
        <w:t>”</w:t>
      </w:r>
      <w:r>
        <w:rPr>
          <w:rFonts w:ascii="宋体" w:hAnsi="宋体" w:cs="宋体"/>
          <w:kern w:val="0"/>
          <w:sz w:val="24"/>
          <w:szCs w:val="24"/>
          <w:lang w:bidi="ar"/>
        </w:rPr>
        <w:t>国家战略性新兴产业发展规划》中重点培育的五大产业之一，新一代信息技术产业正在成为我国经济发展的一个新引擎。</w:t>
      </w:r>
    </w:p>
    <w:p w:rsidR="00B171A6" w:rsidRDefault="00CA40DB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/>
          <w:kern w:val="0"/>
          <w:sz w:val="24"/>
          <w:szCs w:val="24"/>
          <w:lang w:bidi="ar"/>
        </w:rPr>
        <w:t>新一代互联网、</w:t>
      </w:r>
      <w:r>
        <w:rPr>
          <w:rFonts w:ascii="宋体" w:hAnsi="宋体" w:cs="宋体"/>
          <w:kern w:val="0"/>
          <w:sz w:val="24"/>
          <w:szCs w:val="24"/>
          <w:lang w:bidi="ar"/>
        </w:rPr>
        <w:t>5G</w:t>
      </w:r>
      <w:r>
        <w:rPr>
          <w:rFonts w:ascii="宋体" w:hAnsi="宋体" w:cs="宋体"/>
          <w:kern w:val="0"/>
          <w:sz w:val="24"/>
          <w:szCs w:val="24"/>
          <w:lang w:bidi="ar"/>
        </w:rPr>
        <w:t>、北斗系统、全国性的高速网络以及各类数据中心，将是未来我国新一代信息技术发展的基础设施，决定整个产业的发展程度。目前，我国对各类新一代信息技术基础设施建设高度重视，不但有政策支持，还制定了详细的实施方案和具体的时间表，这将使各类信息技术基础设施建设速度加快，为未来新一代信息技术产业发展创造良好的物质环境。</w:t>
      </w:r>
    </w:p>
    <w:p w:rsidR="00B171A6" w:rsidRDefault="00B171A6">
      <w:pPr>
        <w:widowControl/>
        <w:spacing w:after="180" w:line="360" w:lineRule="atLeast"/>
        <w:jc w:val="left"/>
        <w:rPr>
          <w:b/>
          <w:bCs/>
        </w:rPr>
      </w:pPr>
    </w:p>
    <w:p w:rsidR="00B171A6" w:rsidRDefault="00CA40DB">
      <w:pPr>
        <w:widowControl/>
        <w:spacing w:after="180" w:line="360" w:lineRule="atLeast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hint="eastAsia"/>
          <w:b/>
          <w:bCs/>
        </w:rPr>
        <w:t>三：行业政策：国家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>多项产业扶持政策</w:t>
      </w:r>
      <w:r>
        <w:rPr>
          <w:rFonts w:ascii="Arial" w:hAnsi="Arial" w:cs="Arial"/>
          <w:color w:val="333333"/>
          <w:kern w:val="0"/>
          <w:sz w:val="18"/>
          <w:szCs w:val="18"/>
          <w:lang w:bidi="ar"/>
        </w:rPr>
        <w:br/>
      </w:r>
      <w:r>
        <w:rPr>
          <w:rFonts w:ascii="Arial" w:hAnsi="Arial" w:cs="Arial"/>
          <w:color w:val="333333"/>
          <w:kern w:val="0"/>
          <w:sz w:val="18"/>
          <w:szCs w:val="18"/>
          <w:lang w:bidi="ar"/>
        </w:rPr>
        <w:br/>
      </w:r>
      <w:r>
        <w:rPr>
          <w:rFonts w:ascii="Arial" w:hAnsi="Arial" w:cs="Arial" w:hint="eastAsia"/>
          <w:color w:val="333333"/>
          <w:kern w:val="0"/>
          <w:sz w:val="18"/>
          <w:szCs w:val="18"/>
          <w:lang w:bidi="ar"/>
        </w:rPr>
        <w:t>1</w:t>
      </w:r>
      <w:r>
        <w:rPr>
          <w:rFonts w:ascii="Arial" w:hAnsi="Arial" w:cs="Arial" w:hint="eastAsia"/>
          <w:color w:val="333333"/>
          <w:kern w:val="0"/>
          <w:sz w:val="18"/>
          <w:szCs w:val="18"/>
          <w:lang w:bidi="ar"/>
        </w:rPr>
        <w:t>）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为了进一步促进我国新一代信息技术产业的健康发展，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2017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年陆续出台多项产业政策，并实施一系列促进产业做大做强的举措。此外，财政部还出台具有针对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性的财税金融政策，帮扶产业企业快速成长。</w:t>
      </w:r>
    </w:p>
    <w:p w:rsidR="00B171A6" w:rsidRDefault="00B171A6">
      <w:pPr>
        <w:widowControl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:rsidR="00B171A6" w:rsidRDefault="00CA40DB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bidi="ar"/>
        </w:rPr>
        <w:t>四：投资机会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：</w:t>
      </w:r>
    </w:p>
    <w:p w:rsidR="00B171A6" w:rsidRDefault="00CA40DB">
      <w:pPr>
        <w:widowControl/>
        <w:spacing w:after="180" w:line="360" w:lineRule="atLeast"/>
        <w:jc w:val="left"/>
        <w:rPr>
          <w:rFonts w:ascii="Arial" w:hAnsi="Arial" w:cs="Arial"/>
          <w:b/>
          <w:bCs/>
          <w:color w:val="333333"/>
          <w:szCs w:val="21"/>
        </w:rPr>
      </w:pPr>
      <w:r>
        <w:rPr>
          <w:rFonts w:ascii="Arial" w:hAnsi="Arial" w:cs="Arial" w:hint="eastAsia"/>
          <w:b/>
          <w:bCs/>
          <w:color w:val="333333"/>
          <w:kern w:val="0"/>
          <w:szCs w:val="21"/>
          <w:lang w:bidi="ar"/>
        </w:rPr>
        <w:lastRenderedPageBreak/>
        <w:t>重点关注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>四大重点领域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  <w:lang w:bidi="ar"/>
        </w:rPr>
        <w:t>：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>5G</w:t>
      </w:r>
      <w:r>
        <w:rPr>
          <w:rFonts w:ascii="Arial" w:hAnsi="Arial" w:cs="Arial" w:hint="eastAsia"/>
          <w:b/>
          <w:bCs/>
          <w:color w:val="333333"/>
          <w:kern w:val="0"/>
          <w:szCs w:val="21"/>
          <w:lang w:bidi="ar"/>
        </w:rPr>
        <w:t>、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>集成电路</w:t>
      </w:r>
      <w:r>
        <w:rPr>
          <w:rFonts w:ascii="Arial" w:hAnsi="Arial" w:cs="Arial" w:hint="eastAsia"/>
          <w:b/>
          <w:bCs/>
          <w:color w:val="333333"/>
          <w:kern w:val="0"/>
          <w:szCs w:val="21"/>
          <w:lang w:bidi="ar"/>
        </w:rPr>
        <w:t>、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 xml:space="preserve">　物联网</w:t>
      </w:r>
      <w:r>
        <w:rPr>
          <w:rFonts w:ascii="Arial" w:hAnsi="Arial" w:cs="Arial" w:hint="eastAsia"/>
          <w:b/>
          <w:bCs/>
          <w:color w:val="333333"/>
          <w:kern w:val="0"/>
          <w:szCs w:val="21"/>
          <w:lang w:bidi="ar"/>
        </w:rPr>
        <w:t>、</w:t>
      </w:r>
      <w:r>
        <w:rPr>
          <w:rFonts w:ascii="Arial" w:hAnsi="Arial" w:cs="Arial"/>
          <w:b/>
          <w:bCs/>
          <w:color w:val="333333"/>
          <w:kern w:val="0"/>
          <w:szCs w:val="21"/>
          <w:lang w:bidi="ar"/>
        </w:rPr>
        <w:t>云计算</w:t>
      </w:r>
    </w:p>
    <w:p w:rsidR="00B171A6" w:rsidRDefault="00CA40DB">
      <w:pPr>
        <w:widowControl/>
        <w:spacing w:after="180" w:line="360" w:lineRule="atLeast"/>
        <w:ind w:firstLineChars="100" w:firstLine="240"/>
        <w:jc w:val="lef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国务院印发《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 xml:space="preserve"> “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十三五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”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国家战略性新兴产业发展规划》。《规划》提出，到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2020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年，战略性新兴产业增加值占国内生产总值比重要由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2015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年的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8%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达到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15%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。同时，要形成新一代信息技术、高端制造、生物、绿色低碳、数字创意等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5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个产值规模</w:t>
      </w:r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10</w:t>
      </w:r>
      <w:proofErr w:type="gramStart"/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万亿元级</w:t>
      </w:r>
      <w:proofErr w:type="gramEnd"/>
      <w:r>
        <w:rPr>
          <w:rFonts w:ascii="Arial" w:hAnsi="Arial" w:cs="Arial"/>
          <w:color w:val="333333"/>
          <w:kern w:val="0"/>
          <w:sz w:val="24"/>
          <w:szCs w:val="24"/>
          <w:lang w:bidi="ar"/>
        </w:rPr>
        <w:t>的新支柱。</w:t>
      </w:r>
    </w:p>
    <w:p w:rsidR="00B171A6" w:rsidRDefault="00B171A6">
      <w:pPr>
        <w:widowControl/>
        <w:spacing w:after="180" w:line="360" w:lineRule="atLeast"/>
        <w:jc w:val="left"/>
        <w:rPr>
          <w:rFonts w:ascii="Arial" w:hAnsi="Arial" w:cs="Arial"/>
          <w:color w:val="333333"/>
          <w:sz w:val="18"/>
          <w:szCs w:val="18"/>
        </w:rPr>
      </w:pPr>
    </w:p>
    <w:p w:rsidR="00B171A6" w:rsidRDefault="00B171A6">
      <w:pPr>
        <w:widowControl/>
        <w:spacing w:after="180" w:line="360" w:lineRule="atLeast"/>
        <w:jc w:val="left"/>
        <w:rPr>
          <w:rFonts w:ascii="Arial" w:hAnsi="Arial" w:cs="Arial"/>
          <w:color w:val="333333"/>
          <w:sz w:val="18"/>
          <w:szCs w:val="18"/>
        </w:rPr>
      </w:pPr>
    </w:p>
    <w:p w:rsidR="00B171A6" w:rsidRDefault="00B171A6">
      <w:pPr>
        <w:widowControl/>
        <w:spacing w:after="180" w:line="360" w:lineRule="atLeast"/>
        <w:jc w:val="left"/>
        <w:rPr>
          <w:rFonts w:ascii="Arial" w:hAnsi="Arial" w:cs="Arial"/>
          <w:color w:val="333333"/>
          <w:sz w:val="18"/>
          <w:szCs w:val="18"/>
        </w:rPr>
      </w:pPr>
    </w:p>
    <w:p w:rsidR="00B171A6" w:rsidRDefault="00B171A6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:rsidR="00B171A6" w:rsidRDefault="00B171A6"/>
    <w:sectPr w:rsidR="00B1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DB" w:rsidRDefault="00CA40DB" w:rsidP="00CA40DB">
      <w:r>
        <w:separator/>
      </w:r>
    </w:p>
  </w:endnote>
  <w:endnote w:type="continuationSeparator" w:id="0">
    <w:p w:rsidR="00CA40DB" w:rsidRDefault="00CA40DB" w:rsidP="00CA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DB" w:rsidRDefault="00CA40DB" w:rsidP="00CA40DB">
      <w:r>
        <w:separator/>
      </w:r>
    </w:p>
  </w:footnote>
  <w:footnote w:type="continuationSeparator" w:id="0">
    <w:p w:rsidR="00CA40DB" w:rsidRDefault="00CA40DB" w:rsidP="00CA4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67343"/>
    <w:rsid w:val="00B171A6"/>
    <w:rsid w:val="00CA40DB"/>
    <w:rsid w:val="0F46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Emphasis"/>
    <w:basedOn w:val="a0"/>
    <w:qFormat/>
    <w:rPr>
      <w:u w:val="none"/>
    </w:rPr>
  </w:style>
  <w:style w:type="character" w:styleId="HTML">
    <w:name w:val="HTML Definition"/>
    <w:basedOn w:val="a0"/>
    <w:rPr>
      <w:i/>
    </w:rPr>
  </w:style>
  <w:style w:type="character" w:styleId="HTML0">
    <w:name w:val="HTML Acronym"/>
    <w:basedOn w:val="a0"/>
    <w:rPr>
      <w:bdr w:val="none" w:sz="0" w:space="0" w:color="auto"/>
    </w:rPr>
  </w:style>
  <w:style w:type="character" w:styleId="HTML1">
    <w:name w:val="HTML Variable"/>
    <w:basedOn w:val="a0"/>
    <w:rPr>
      <w:i/>
    </w:rPr>
  </w:style>
  <w:style w:type="character" w:styleId="a6">
    <w:name w:val="Hyperlink"/>
    <w:basedOn w:val="a0"/>
    <w:rPr>
      <w:color w:val="333333"/>
      <w:u w:val="none"/>
    </w:rPr>
  </w:style>
  <w:style w:type="character" w:styleId="HTML2">
    <w:name w:val="HTML Code"/>
    <w:basedOn w:val="a0"/>
    <w:rPr>
      <w:rFonts w:ascii="Courier New" w:hAnsi="Courier New"/>
      <w:sz w:val="20"/>
      <w:bdr w:val="none" w:sz="0" w:space="0" w:color="auto"/>
    </w:rPr>
  </w:style>
  <w:style w:type="character" w:styleId="HTML3">
    <w:name w:val="HTML Cite"/>
    <w:basedOn w:val="a0"/>
  </w:style>
  <w:style w:type="character" w:customStyle="1" w:styleId="seat">
    <w:name w:val="seat"/>
    <w:basedOn w:val="a0"/>
  </w:style>
  <w:style w:type="character" w:customStyle="1" w:styleId="seat1">
    <w:name w:val="seat1"/>
    <w:basedOn w:val="a0"/>
  </w:style>
  <w:style w:type="character" w:customStyle="1" w:styleId="tl">
    <w:name w:val="tl"/>
    <w:basedOn w:val="a0"/>
  </w:style>
  <w:style w:type="character" w:customStyle="1" w:styleId="ml95d">
    <w:name w:val="ml95d"/>
    <w:basedOn w:val="a0"/>
  </w:style>
  <w:style w:type="paragraph" w:styleId="a7">
    <w:name w:val="header"/>
    <w:basedOn w:val="a"/>
    <w:link w:val="Char"/>
    <w:rsid w:val="00CA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A40DB"/>
    <w:rPr>
      <w:kern w:val="2"/>
      <w:sz w:val="18"/>
      <w:szCs w:val="18"/>
    </w:rPr>
  </w:style>
  <w:style w:type="paragraph" w:styleId="a8">
    <w:name w:val="footer"/>
    <w:basedOn w:val="a"/>
    <w:link w:val="Char0"/>
    <w:rsid w:val="00CA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40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Emphasis"/>
    <w:basedOn w:val="a0"/>
    <w:qFormat/>
    <w:rPr>
      <w:u w:val="none"/>
    </w:rPr>
  </w:style>
  <w:style w:type="character" w:styleId="HTML">
    <w:name w:val="HTML Definition"/>
    <w:basedOn w:val="a0"/>
    <w:rPr>
      <w:i/>
    </w:rPr>
  </w:style>
  <w:style w:type="character" w:styleId="HTML0">
    <w:name w:val="HTML Acronym"/>
    <w:basedOn w:val="a0"/>
    <w:rPr>
      <w:bdr w:val="none" w:sz="0" w:space="0" w:color="auto"/>
    </w:rPr>
  </w:style>
  <w:style w:type="character" w:styleId="HTML1">
    <w:name w:val="HTML Variable"/>
    <w:basedOn w:val="a0"/>
    <w:rPr>
      <w:i/>
    </w:rPr>
  </w:style>
  <w:style w:type="character" w:styleId="a6">
    <w:name w:val="Hyperlink"/>
    <w:basedOn w:val="a0"/>
    <w:rPr>
      <w:color w:val="333333"/>
      <w:u w:val="none"/>
    </w:rPr>
  </w:style>
  <w:style w:type="character" w:styleId="HTML2">
    <w:name w:val="HTML Code"/>
    <w:basedOn w:val="a0"/>
    <w:rPr>
      <w:rFonts w:ascii="Courier New" w:hAnsi="Courier New"/>
      <w:sz w:val="20"/>
      <w:bdr w:val="none" w:sz="0" w:space="0" w:color="auto"/>
    </w:rPr>
  </w:style>
  <w:style w:type="character" w:styleId="HTML3">
    <w:name w:val="HTML Cite"/>
    <w:basedOn w:val="a0"/>
  </w:style>
  <w:style w:type="character" w:customStyle="1" w:styleId="seat">
    <w:name w:val="seat"/>
    <w:basedOn w:val="a0"/>
  </w:style>
  <w:style w:type="character" w:customStyle="1" w:styleId="seat1">
    <w:name w:val="seat1"/>
    <w:basedOn w:val="a0"/>
  </w:style>
  <w:style w:type="character" w:customStyle="1" w:styleId="tl">
    <w:name w:val="tl"/>
    <w:basedOn w:val="a0"/>
  </w:style>
  <w:style w:type="character" w:customStyle="1" w:styleId="ml95d">
    <w:name w:val="ml95d"/>
    <w:basedOn w:val="a0"/>
  </w:style>
  <w:style w:type="paragraph" w:styleId="a7">
    <w:name w:val="header"/>
    <w:basedOn w:val="a"/>
    <w:link w:val="Char"/>
    <w:rsid w:val="00CA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A40DB"/>
    <w:rPr>
      <w:kern w:val="2"/>
      <w:sz w:val="18"/>
      <w:szCs w:val="18"/>
    </w:rPr>
  </w:style>
  <w:style w:type="paragraph" w:styleId="a8">
    <w:name w:val="footer"/>
    <w:basedOn w:val="a"/>
    <w:link w:val="Char0"/>
    <w:rsid w:val="00CA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4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55</Characters>
  <Application>Microsoft Office Word</Application>
  <DocSecurity>0</DocSecurity>
  <Lines>2</Lines>
  <Paragraphs>19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2017-12-20T08:40:00Z</dcterms:created>
  <dcterms:modified xsi:type="dcterms:W3CDTF">2018-01-08T05:59:00Z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